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1F" w:rsidRDefault="00B5281F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5281F" w:rsidRDefault="00B5281F">
      <w:pPr>
        <w:pStyle w:val="ConsPlusNormal"/>
        <w:jc w:val="both"/>
        <w:outlineLvl w:val="0"/>
      </w:pPr>
    </w:p>
    <w:p w:rsidR="00B5281F" w:rsidRDefault="00B5281F">
      <w:pPr>
        <w:pStyle w:val="ConsPlusTitle"/>
        <w:jc w:val="center"/>
      </w:pPr>
      <w:r>
        <w:t>МИНИСТЕРСТВО СТРОИТЕЛЬСТВА И ЖИЛИЩНО-КОММУНАЛЬНОГО</w:t>
      </w:r>
    </w:p>
    <w:p w:rsidR="00B5281F" w:rsidRDefault="00B5281F">
      <w:pPr>
        <w:pStyle w:val="ConsPlusTitle"/>
        <w:jc w:val="center"/>
      </w:pPr>
      <w:r>
        <w:t>ХОЗЯЙСТВА РОССИЙСКОЙ ФЕДЕРАЦИИ</w:t>
      </w:r>
    </w:p>
    <w:p w:rsidR="00B5281F" w:rsidRDefault="00B5281F">
      <w:pPr>
        <w:pStyle w:val="ConsPlusTitle"/>
        <w:jc w:val="center"/>
      </w:pPr>
    </w:p>
    <w:p w:rsidR="00B5281F" w:rsidRDefault="00B5281F">
      <w:pPr>
        <w:pStyle w:val="ConsPlusTitle"/>
        <w:jc w:val="center"/>
      </w:pPr>
      <w:r>
        <w:t>ПИСЬМО</w:t>
      </w:r>
    </w:p>
    <w:p w:rsidR="00B5281F" w:rsidRDefault="00B5281F">
      <w:pPr>
        <w:pStyle w:val="ConsPlusTitle"/>
        <w:jc w:val="center"/>
      </w:pPr>
      <w:r>
        <w:t>от 7 апреля 2025 г. N 19948-АВ/09</w:t>
      </w:r>
    </w:p>
    <w:p w:rsidR="00B5281F" w:rsidRDefault="00B5281F">
      <w:pPr>
        <w:pStyle w:val="ConsPlusNormal"/>
        <w:jc w:val="both"/>
      </w:pPr>
    </w:p>
    <w:p w:rsidR="00B5281F" w:rsidRDefault="00B5281F">
      <w:pPr>
        <w:pStyle w:val="ConsPlusNormal"/>
        <w:ind w:firstLine="540"/>
        <w:jc w:val="both"/>
      </w:pPr>
      <w:r>
        <w:t>Департамент ценообразования и ресурсного обеспечения строительства Министерства строительства и жилищно-коммунального хозяйства Российской Федерации (далее - Департамент) рассмотрел обращение по вопросу уплаты налога на добавленную стоимость, и в рамках своей компетенции сообщает.</w:t>
      </w:r>
    </w:p>
    <w:p w:rsidR="00B5281F" w:rsidRDefault="00B5281F">
      <w:pPr>
        <w:pStyle w:val="ConsPlusNormal"/>
        <w:spacing w:before="220"/>
        <w:ind w:firstLine="540"/>
        <w:jc w:val="both"/>
      </w:pPr>
      <w:r>
        <w:t xml:space="preserve">В соответствии с положениями </w:t>
      </w:r>
      <w:hyperlink r:id="rId6">
        <w:r>
          <w:rPr>
            <w:color w:val="0000FF"/>
          </w:rPr>
          <w:t>Порядка</w:t>
        </w:r>
      </w:hyperlink>
      <w: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планирования), утвержденного приказом Минстроя России от 23 декабря 2019 г. N 841/</w:t>
      </w:r>
      <w:proofErr w:type="gramStart"/>
      <w:r>
        <w:t>пр</w:t>
      </w:r>
      <w:proofErr w:type="gramEnd"/>
      <w:r>
        <w:t xml:space="preserve"> (далее - НМЦК), определение НМЦК, составление сметы контракта осуществляется до момента проведения закупки, в том числе с учетом НДС.</w:t>
      </w:r>
    </w:p>
    <w:p w:rsidR="00B5281F" w:rsidRDefault="00B5281F">
      <w:pPr>
        <w:pStyle w:val="ConsPlusNormal"/>
        <w:spacing w:before="220"/>
        <w:ind w:firstLine="540"/>
        <w:jc w:val="both"/>
      </w:pPr>
      <w:r>
        <w:t>В этой связи до размещения закупки и заключения контракта заказчик не обладает информацией о системе налогообложения, применяемой участником закупки, с которым будет заключен контракт.</w:t>
      </w:r>
    </w:p>
    <w:p w:rsidR="00B5281F" w:rsidRDefault="00B5281F">
      <w:pPr>
        <w:pStyle w:val="ConsPlusNormal"/>
        <w:spacing w:before="220"/>
        <w:ind w:firstLine="540"/>
        <w:jc w:val="both"/>
      </w:pPr>
      <w:proofErr w:type="gramStart"/>
      <w:r>
        <w:t xml:space="preserve">Из положений </w:t>
      </w:r>
      <w:hyperlink r:id="rId7">
        <w:r>
          <w:rPr>
            <w:color w:val="0000FF"/>
          </w:rPr>
          <w:t>статьи 34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</w:t>
      </w:r>
      <w:hyperlink r:id="rId8">
        <w:r>
          <w:rPr>
            <w:color w:val="0000FF"/>
          </w:rPr>
          <w:t>пунктов 3</w:t>
        </w:r>
      </w:hyperlink>
      <w:r>
        <w:t xml:space="preserve"> и </w:t>
      </w:r>
      <w:hyperlink r:id="rId9">
        <w:r>
          <w:rPr>
            <w:color w:val="0000FF"/>
          </w:rPr>
          <w:t>4</w:t>
        </w:r>
      </w:hyperlink>
      <w:r>
        <w:t xml:space="preserve"> Методики составления сметы контракта, предметом которого являются строительство, реконструкция объектов капитального строительства, утвержденной приказом Минстроя России от 23 декабря 2019 г. N 841</w:t>
      </w:r>
      <w:proofErr w:type="gramEnd"/>
      <w:r>
        <w:t>/</w:t>
      </w:r>
      <w:proofErr w:type="gramStart"/>
      <w:r>
        <w:t>пр</w:t>
      </w:r>
      <w:proofErr w:type="gramEnd"/>
      <w:r>
        <w:t xml:space="preserve"> (далее - Методика N 841/пр), следует, что контракт заключается по цене, предложенной участником закупки, при этом смета контракта составляется посредством указания цены каждого конструктивного решения (элемента), комплекса (вида) работ с учетом пропорционального снижения НМЦК участником закупки, с которым заключается контракт.</w:t>
      </w:r>
    </w:p>
    <w:p w:rsidR="00B5281F" w:rsidRDefault="00B5281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0">
        <w:r>
          <w:rPr>
            <w:color w:val="0000FF"/>
          </w:rPr>
          <w:t>пунктом 36</w:t>
        </w:r>
      </w:hyperlink>
      <w:r>
        <w:t xml:space="preserve"> Типовых условий контрактов на выполнение работ по строительству, реконструкции, капитальному ремонту, сносу объекта капитального строительства, утвержденных постановлением Правительства Российской Федерации от 29 июня 2023 г. N 1066 (далее - Типовые условия N 1066), предусматривается, что цена контракта </w:t>
      </w:r>
      <w:proofErr w:type="gramStart"/>
      <w:r>
        <w:t>включает</w:t>
      </w:r>
      <w:proofErr w:type="gramEnd"/>
      <w:r>
        <w:t xml:space="preserve"> в том числе налог на добавленную стоимость (далее - НДС), а в случае если контракт заключается с лицами, не являющимися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:rsidR="00B5281F" w:rsidRDefault="00B5281F">
      <w:pPr>
        <w:pStyle w:val="ConsPlusNormal"/>
        <w:spacing w:before="220"/>
        <w:ind w:firstLine="540"/>
        <w:jc w:val="both"/>
      </w:pPr>
      <w:proofErr w:type="gramStart"/>
      <w:r>
        <w:t xml:space="preserve">При этом в соответствии с </w:t>
      </w:r>
      <w:hyperlink r:id="rId11">
        <w:r>
          <w:rPr>
            <w:color w:val="0000FF"/>
          </w:rPr>
          <w:t>частью 6.1 статьи 110.2</w:t>
        </w:r>
      </w:hyperlink>
      <w:r>
        <w:t xml:space="preserve"> Закона N 44-ФЗ оплата выполненных работ осуществляется в пределах цены контрактов, предметом которых являются строительство, реконструкция объектов капитального строительства, в соответствии с их сметой в сроки и в размерах, которые установлены таким контрактом.</w:t>
      </w:r>
      <w:proofErr w:type="gramEnd"/>
    </w:p>
    <w:p w:rsidR="00B5281F" w:rsidRDefault="00B5281F">
      <w:pPr>
        <w:pStyle w:val="ConsPlusNormal"/>
        <w:spacing w:before="220"/>
        <w:ind w:firstLine="540"/>
        <w:jc w:val="both"/>
      </w:pPr>
      <w:r>
        <w:t xml:space="preserve">Из указанных положений </w:t>
      </w:r>
      <w:hyperlink r:id="rId12">
        <w:r>
          <w:rPr>
            <w:color w:val="0000FF"/>
          </w:rPr>
          <w:t>статьи 110.2</w:t>
        </w:r>
      </w:hyperlink>
      <w:r>
        <w:t xml:space="preserve"> Закона N 44-ФЗ следует, что оплата осуществляется в соответствии со сметой контракта, при этом сроки и размеры такой оплаты, в том числе в части НДС, регламентируются контрактом.</w:t>
      </w:r>
    </w:p>
    <w:p w:rsidR="00B5281F" w:rsidRDefault="00B5281F">
      <w:pPr>
        <w:pStyle w:val="ConsPlusNormal"/>
        <w:spacing w:before="220"/>
        <w:ind w:firstLine="540"/>
        <w:jc w:val="both"/>
      </w:pPr>
      <w:r>
        <w:t xml:space="preserve">Таким образом, а также принимая во внимание положения </w:t>
      </w:r>
      <w:hyperlink r:id="rId13">
        <w:r>
          <w:rPr>
            <w:color w:val="0000FF"/>
          </w:rPr>
          <w:t>статей 34</w:t>
        </w:r>
      </w:hyperlink>
      <w:r>
        <w:t xml:space="preserve"> и </w:t>
      </w:r>
      <w:hyperlink r:id="rId14">
        <w:r>
          <w:rPr>
            <w:color w:val="0000FF"/>
          </w:rPr>
          <w:t>110.2</w:t>
        </w:r>
      </w:hyperlink>
      <w:r>
        <w:t xml:space="preserve"> Закона N 44-ФЗ, </w:t>
      </w:r>
      <w:hyperlink r:id="rId15">
        <w:r>
          <w:rPr>
            <w:color w:val="0000FF"/>
          </w:rPr>
          <w:t>пункта 36</w:t>
        </w:r>
      </w:hyperlink>
      <w:r>
        <w:t xml:space="preserve"> Типовых условий N 1066, </w:t>
      </w:r>
      <w:hyperlink r:id="rId16">
        <w:r>
          <w:rPr>
            <w:color w:val="0000FF"/>
          </w:rPr>
          <w:t>пунктов 3</w:t>
        </w:r>
      </w:hyperlink>
      <w:r>
        <w:t xml:space="preserve">, </w:t>
      </w:r>
      <w:hyperlink r:id="rId17">
        <w:r>
          <w:rPr>
            <w:color w:val="0000FF"/>
          </w:rPr>
          <w:t>4</w:t>
        </w:r>
      </w:hyperlink>
      <w:r>
        <w:t xml:space="preserve"> и </w:t>
      </w:r>
      <w:hyperlink r:id="rId18">
        <w:r>
          <w:rPr>
            <w:color w:val="0000FF"/>
          </w:rPr>
          <w:t>7</w:t>
        </w:r>
      </w:hyperlink>
      <w:r>
        <w:t xml:space="preserve"> Методики N 841/</w:t>
      </w:r>
      <w:proofErr w:type="gramStart"/>
      <w:r>
        <w:t>пр</w:t>
      </w:r>
      <w:proofErr w:type="gramEnd"/>
      <w:r>
        <w:t xml:space="preserve">, по мнению Департамента, </w:t>
      </w:r>
      <w:r>
        <w:lastRenderedPageBreak/>
        <w:t xml:space="preserve">порядок определения цены контракта и ее структура как по результатам проведения закупочной процедуры, так и при осуществлении приемки и оплаты выполненных работ являются аналогичными и учитывают коэффициент снижения НМЦК, </w:t>
      </w:r>
      <w:proofErr w:type="gramStart"/>
      <w:r>
        <w:t>определенный</w:t>
      </w:r>
      <w:proofErr w:type="gramEnd"/>
      <w:r>
        <w:t xml:space="preserve"> по результатам закупочных процедур, который предложен участником закупки с учетом применяемой им системы налогообложения.</w:t>
      </w:r>
    </w:p>
    <w:p w:rsidR="00B5281F" w:rsidRDefault="00B5281F">
      <w:pPr>
        <w:pStyle w:val="ConsPlusNormal"/>
        <w:spacing w:before="220"/>
        <w:ind w:firstLine="540"/>
        <w:jc w:val="both"/>
      </w:pPr>
      <w:r>
        <w:t>При этом вопросы, связанные с применением налогового законодательства Российской Федерации и законодательством Российской Федерации о контрактной системе в сфере закупок, не относятся к полномочиям Минстроя России.</w:t>
      </w:r>
    </w:p>
    <w:p w:rsidR="00B5281F" w:rsidRDefault="00B5281F">
      <w:pPr>
        <w:pStyle w:val="ConsPlusNormal"/>
        <w:spacing w:before="220"/>
        <w:ind w:firstLine="540"/>
        <w:jc w:val="both"/>
      </w:pPr>
      <w:proofErr w:type="gramStart"/>
      <w:r>
        <w:t>Федеральным органом исполнительной власти, осуществляющим функции по выработке государственной политики и нормативно-правовому регулированию, в том числе в сфере налоговой деятельности, а также в сфере осуществления закупок товаров, работ, услуг для обеспечения государственных и муниципальных нужд, является Минфин России (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2004 г. N 329).</w:t>
      </w:r>
      <w:proofErr w:type="gramEnd"/>
    </w:p>
    <w:p w:rsidR="00B5281F" w:rsidRDefault="00B5281F">
      <w:pPr>
        <w:pStyle w:val="ConsPlusNormal"/>
        <w:spacing w:before="220"/>
        <w:ind w:firstLine="540"/>
        <w:jc w:val="both"/>
      </w:pPr>
      <w:r>
        <w:t xml:space="preserve">Учитывая изложенное, по вопросам </w:t>
      </w:r>
      <w:proofErr w:type="gramStart"/>
      <w:r>
        <w:t>применения положений законодательства Российской Федерации</w:t>
      </w:r>
      <w:proofErr w:type="gramEnd"/>
      <w:r>
        <w:t xml:space="preserve"> о налогах и сборах, а также законодательства Российской Федерации о контрактной системе в сфере закупок Департамент считает целесообразным дополнительно обратиться в Минфин России.</w:t>
      </w:r>
    </w:p>
    <w:p w:rsidR="00B5281F" w:rsidRDefault="00B5281F">
      <w:pPr>
        <w:pStyle w:val="ConsPlusNormal"/>
        <w:jc w:val="both"/>
      </w:pPr>
    </w:p>
    <w:p w:rsidR="00B5281F" w:rsidRDefault="00B5281F">
      <w:pPr>
        <w:pStyle w:val="ConsPlusNormal"/>
        <w:jc w:val="right"/>
      </w:pPr>
      <w:r>
        <w:t>Директор Департамента</w:t>
      </w:r>
    </w:p>
    <w:p w:rsidR="00B5281F" w:rsidRDefault="00B5281F">
      <w:pPr>
        <w:pStyle w:val="ConsPlusNormal"/>
        <w:jc w:val="right"/>
      </w:pPr>
      <w:r>
        <w:t>ценообразования и ресурсного</w:t>
      </w:r>
    </w:p>
    <w:p w:rsidR="00B5281F" w:rsidRDefault="00B5281F">
      <w:pPr>
        <w:pStyle w:val="ConsPlusNormal"/>
        <w:jc w:val="right"/>
      </w:pPr>
      <w:r>
        <w:t>обеспечения строительства</w:t>
      </w:r>
    </w:p>
    <w:p w:rsidR="00B5281F" w:rsidRDefault="00B5281F">
      <w:pPr>
        <w:pStyle w:val="ConsPlusNormal"/>
        <w:jc w:val="right"/>
      </w:pPr>
      <w:r>
        <w:t>А.П.ВИЛКОВ</w:t>
      </w:r>
    </w:p>
    <w:p w:rsidR="00B5281F" w:rsidRDefault="00B5281F">
      <w:pPr>
        <w:pStyle w:val="ConsPlusNormal"/>
        <w:jc w:val="both"/>
      </w:pPr>
    </w:p>
    <w:p w:rsidR="00B5281F" w:rsidRDefault="00B5281F">
      <w:pPr>
        <w:pStyle w:val="ConsPlusNormal"/>
        <w:jc w:val="both"/>
      </w:pPr>
    </w:p>
    <w:p w:rsidR="00B5281F" w:rsidRDefault="00B5281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19DD" w:rsidRDefault="00FD19DD">
      <w:bookmarkStart w:id="0" w:name="_GoBack"/>
      <w:bookmarkEnd w:id="0"/>
    </w:p>
    <w:sectPr w:rsidR="00FD19DD" w:rsidSect="003D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1F"/>
    <w:rsid w:val="00B5281F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8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28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28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8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528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528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8282&amp;dst=294" TargetMode="External"/><Relationship Id="rId13" Type="http://schemas.openxmlformats.org/officeDocument/2006/relationships/hyperlink" Target="https://login.consultant.ru/link/?req=doc&amp;base=LAW&amp;n=483361&amp;dst=100400" TargetMode="External"/><Relationship Id="rId18" Type="http://schemas.openxmlformats.org/officeDocument/2006/relationships/hyperlink" Target="https://login.consultant.ru/link/?req=doc&amp;base=LAW&amp;n=428282&amp;dst=29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3361&amp;dst=100400" TargetMode="External"/><Relationship Id="rId12" Type="http://schemas.openxmlformats.org/officeDocument/2006/relationships/hyperlink" Target="https://login.consultant.ru/link/?req=doc&amp;base=LAW&amp;n=483361&amp;dst=1469" TargetMode="External"/><Relationship Id="rId17" Type="http://schemas.openxmlformats.org/officeDocument/2006/relationships/hyperlink" Target="https://login.consultant.ru/link/?req=doc&amp;base=LAW&amp;n=428282&amp;dst=10032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28282&amp;dst=29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8282&amp;dst=100013" TargetMode="External"/><Relationship Id="rId11" Type="http://schemas.openxmlformats.org/officeDocument/2006/relationships/hyperlink" Target="https://login.consultant.ru/link/?req=doc&amp;base=LAW&amp;n=483361&amp;dst=140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51123&amp;dst=100058" TargetMode="External"/><Relationship Id="rId10" Type="http://schemas.openxmlformats.org/officeDocument/2006/relationships/hyperlink" Target="https://login.consultant.ru/link/?req=doc&amp;base=LAW&amp;n=451123&amp;dst=100058" TargetMode="External"/><Relationship Id="rId19" Type="http://schemas.openxmlformats.org/officeDocument/2006/relationships/hyperlink" Target="https://login.consultant.ru/link/?req=doc&amp;base=LAW&amp;n=4988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8282&amp;dst=100320" TargetMode="External"/><Relationship Id="rId14" Type="http://schemas.openxmlformats.org/officeDocument/2006/relationships/hyperlink" Target="https://login.consultant.ru/link/?req=doc&amp;base=LAW&amp;n=483361&amp;dst=14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2025-06-03T10:55:00Z</dcterms:created>
  <dcterms:modified xsi:type="dcterms:W3CDTF">2025-06-03T10:56:00Z</dcterms:modified>
</cp:coreProperties>
</file>